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18" w:rsidRDefault="00790318" w:rsidP="00835CA5">
      <w:pPr>
        <w:pStyle w:val="Quickheader"/>
      </w:pPr>
      <w:r>
        <w:rPr>
          <w:rFonts w:ascii="Source Sans Pro" w:hAnsi="Source Sans Pro"/>
          <w:iCs/>
          <w:noProof/>
          <w:color w:val="404040" w:themeColor="text1" w:themeTint="BF"/>
          <w:lang w:eastAsia="en-GB"/>
        </w:rPr>
        <w:drawing>
          <wp:anchor distT="0" distB="0" distL="114300" distR="114300" simplePos="0" relativeHeight="251659264" behindDoc="0" locked="0" layoutInCell="1" allowOverlap="1" wp14:anchorId="6C076E90" wp14:editId="742974B5">
            <wp:simplePos x="0" y="0"/>
            <wp:positionH relativeFrom="column">
              <wp:posOffset>-263451</wp:posOffset>
            </wp:positionH>
            <wp:positionV relativeFrom="paragraph">
              <wp:posOffset>-375890</wp:posOffset>
            </wp:positionV>
            <wp:extent cx="2386330" cy="987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uk_logo-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6330" cy="987425"/>
                    </a:xfrm>
                    <a:prstGeom prst="rect">
                      <a:avLst/>
                    </a:prstGeom>
                  </pic:spPr>
                </pic:pic>
              </a:graphicData>
            </a:graphic>
            <wp14:sizeRelH relativeFrom="page">
              <wp14:pctWidth>0</wp14:pctWidth>
            </wp14:sizeRelH>
            <wp14:sizeRelV relativeFrom="page">
              <wp14:pctHeight>0</wp14:pctHeight>
            </wp14:sizeRelV>
          </wp:anchor>
        </w:drawing>
      </w:r>
    </w:p>
    <w:p w:rsidR="00790318" w:rsidRDefault="00790318" w:rsidP="00835CA5">
      <w:pPr>
        <w:pStyle w:val="Quickheader"/>
      </w:pPr>
    </w:p>
    <w:p w:rsidR="00835CA5" w:rsidRPr="00790318" w:rsidRDefault="00835CA5" w:rsidP="00835CA5">
      <w:pPr>
        <w:pStyle w:val="Quickheader"/>
        <w:rPr>
          <w:sz w:val="48"/>
          <w:szCs w:val="48"/>
        </w:rPr>
      </w:pPr>
      <w:r w:rsidRPr="00790318">
        <w:rPr>
          <w:sz w:val="48"/>
          <w:szCs w:val="48"/>
        </w:rPr>
        <w:t>Response template</w:t>
      </w:r>
    </w:p>
    <w:p w:rsidR="00835CA5" w:rsidRPr="00A248A2" w:rsidRDefault="00835CA5" w:rsidP="00835CA5">
      <w:pPr>
        <w:pStyle w:val="SubheaderBlack"/>
        <w:rPr>
          <w:color w:val="000000" w:themeColor="text1"/>
        </w:rPr>
      </w:pPr>
      <w:r w:rsidRPr="00A248A2">
        <w:rPr>
          <w:color w:val="000000" w:themeColor="text1"/>
        </w:rPr>
        <w:t xml:space="preserve">Completing this questionnaire - instructions </w:t>
      </w:r>
    </w:p>
    <w:p w:rsidR="00835CA5" w:rsidRPr="00A248A2" w:rsidRDefault="00835CA5" w:rsidP="00835CA5">
      <w:pPr>
        <w:pStyle w:val="ListParagraph"/>
        <w:spacing w:after="200" w:line="276" w:lineRule="auto"/>
        <w:rPr>
          <w:rFonts w:ascii="Source Sans Pro" w:hAnsi="Source Sans Pro"/>
          <w:color w:val="000000" w:themeColor="text1"/>
          <w:szCs w:val="22"/>
        </w:rPr>
      </w:pPr>
    </w:p>
    <w:p w:rsidR="00835CA5" w:rsidRPr="00790318" w:rsidRDefault="00835CA5" w:rsidP="00790318">
      <w:pPr>
        <w:pStyle w:val="NoSpacing"/>
        <w:rPr>
          <w:rFonts w:ascii="Arial" w:hAnsi="Arial" w:cs="Arial"/>
        </w:rPr>
      </w:pPr>
      <w:r w:rsidRPr="00790318">
        <w:rPr>
          <w:rFonts w:ascii="Arial" w:hAnsi="Arial" w:cs="Arial"/>
        </w:rPr>
        <w:t xml:space="preserve">Please provide your completed response to the Call for Information by 5pm on Tuesday 1 October 2019.  You should send your response to </w:t>
      </w:r>
      <w:hyperlink r:id="rId8" w:history="1">
        <w:r w:rsidRPr="00790318">
          <w:rPr>
            <w:rStyle w:val="Hyperlink"/>
            <w:rFonts w:ascii="Arial" w:eastAsiaTheme="majorEastAsia" w:hAnsi="Arial" w:cs="Arial"/>
            <w:szCs w:val="22"/>
          </w:rPr>
          <w:t>CRMFcall@wearepay.uk</w:t>
        </w:r>
      </w:hyperlink>
      <w:r w:rsidRPr="00790318">
        <w:rPr>
          <w:rFonts w:ascii="Arial" w:hAnsi="Arial" w:cs="Arial"/>
        </w:rPr>
        <w:t xml:space="preserve">.  </w:t>
      </w:r>
    </w:p>
    <w:p w:rsidR="00835CA5" w:rsidRPr="00790318" w:rsidRDefault="00835CA5" w:rsidP="00790318">
      <w:pPr>
        <w:pStyle w:val="NoSpacing"/>
        <w:rPr>
          <w:rFonts w:ascii="Arial" w:hAnsi="Arial" w:cs="Arial"/>
        </w:rPr>
      </w:pPr>
    </w:p>
    <w:p w:rsidR="00835CA5" w:rsidRPr="00790318" w:rsidRDefault="00835CA5" w:rsidP="00790318">
      <w:pPr>
        <w:pStyle w:val="NoSpacing"/>
        <w:rPr>
          <w:rFonts w:ascii="Arial" w:hAnsi="Arial" w:cs="Arial"/>
        </w:rPr>
      </w:pPr>
      <w:r w:rsidRPr="00790318">
        <w:rPr>
          <w:rFonts w:ascii="Arial" w:hAnsi="Arial" w:cs="Arial"/>
        </w:rPr>
        <w:t xml:space="preserve">Please provide your response in a Word document. </w:t>
      </w:r>
    </w:p>
    <w:p w:rsidR="00835CA5" w:rsidRPr="00790318" w:rsidRDefault="00835CA5" w:rsidP="00790318">
      <w:pPr>
        <w:pStyle w:val="NoSpacing"/>
        <w:rPr>
          <w:rFonts w:ascii="Arial" w:hAnsi="Arial" w:cs="Arial"/>
        </w:rPr>
      </w:pPr>
    </w:p>
    <w:p w:rsidR="00835CA5" w:rsidRPr="00790318" w:rsidRDefault="00835CA5" w:rsidP="00790318">
      <w:pPr>
        <w:pStyle w:val="NoSpacing"/>
        <w:rPr>
          <w:rFonts w:ascii="Arial" w:hAnsi="Arial" w:cs="Arial"/>
        </w:rPr>
      </w:pPr>
      <w:r w:rsidRPr="00790318">
        <w:rPr>
          <w:rFonts w:ascii="Arial" w:hAnsi="Arial" w:cs="Arial"/>
        </w:rPr>
        <w:t>Where information you provide is commercially sensitive, please identify it by labelling it [CONFIDENTIAL] and yellow-highlighting it in the Word response.</w:t>
      </w:r>
    </w:p>
    <w:p w:rsidR="00835CA5" w:rsidRPr="00790318" w:rsidRDefault="00835CA5" w:rsidP="00790318">
      <w:pPr>
        <w:pStyle w:val="NoSpacing"/>
        <w:rPr>
          <w:rFonts w:ascii="Arial" w:hAnsi="Arial" w:cs="Arial"/>
        </w:rPr>
      </w:pPr>
    </w:p>
    <w:p w:rsidR="00835CA5" w:rsidRPr="00790318" w:rsidRDefault="00835CA5" w:rsidP="00790318">
      <w:pPr>
        <w:pStyle w:val="NoSpacing"/>
        <w:rPr>
          <w:rFonts w:ascii="Arial" w:hAnsi="Arial" w:cs="Arial"/>
        </w:rPr>
      </w:pPr>
      <w:r w:rsidRPr="00790318">
        <w:rPr>
          <w:rFonts w:ascii="Arial" w:hAnsi="Arial" w:cs="Arial"/>
        </w:rPr>
        <w:t xml:space="preserve">Should we receive responses to this  Call for Information relating to the merits of alternatives model we will pass these comments on to UK Finance for its consideration – if you want your views to be shared with UK Finance on an </w:t>
      </w:r>
      <w:proofErr w:type="spellStart"/>
      <w:r w:rsidRPr="00790318">
        <w:rPr>
          <w:rFonts w:ascii="Arial" w:hAnsi="Arial" w:cs="Arial"/>
        </w:rPr>
        <w:t>anonymised</w:t>
      </w:r>
      <w:proofErr w:type="spellEnd"/>
      <w:r w:rsidRPr="00790318">
        <w:rPr>
          <w:rFonts w:ascii="Arial" w:hAnsi="Arial" w:cs="Arial"/>
        </w:rPr>
        <w:t xml:space="preserve"> basis please indicate this in your response.  </w:t>
      </w:r>
    </w:p>
    <w:p w:rsidR="00835CA5" w:rsidRPr="00A248A2" w:rsidRDefault="00835CA5" w:rsidP="00835CA5">
      <w:pPr>
        <w:spacing w:after="200" w:line="276" w:lineRule="auto"/>
        <w:rPr>
          <w:rFonts w:ascii="Source Sans Pro" w:eastAsiaTheme="minorEastAsia" w:hAnsi="Source Sans Pro" w:cstheme="minorBidi"/>
          <w:color w:val="000000" w:themeColor="text1"/>
          <w:szCs w:val="22"/>
          <w:lang w:eastAsia="en-GB"/>
        </w:rPr>
      </w:pPr>
      <w:r w:rsidRPr="00A248A2">
        <w:rPr>
          <w:rFonts w:ascii="Source Sans Pro" w:hAnsi="Source Sans Pro"/>
          <w:color w:val="000000" w:themeColor="text1"/>
          <w:szCs w:val="22"/>
        </w:rPr>
        <w:br w:type="page"/>
      </w:r>
    </w:p>
    <w:tbl>
      <w:tblPr>
        <w:tblStyle w:val="TableGrid"/>
        <w:tblW w:w="0" w:type="auto"/>
        <w:tblLook w:val="04A0" w:firstRow="1" w:lastRow="0" w:firstColumn="1" w:lastColumn="0" w:noHBand="0" w:noVBand="1"/>
      </w:tblPr>
      <w:tblGrid>
        <w:gridCol w:w="6204"/>
        <w:gridCol w:w="7654"/>
      </w:tblGrid>
      <w:tr w:rsidR="00835CA5" w:rsidRPr="00790318" w:rsidTr="003F08EA">
        <w:tc>
          <w:tcPr>
            <w:tcW w:w="13858" w:type="dxa"/>
            <w:gridSpan w:val="2"/>
            <w:shd w:val="clear" w:color="auto" w:fill="595959" w:themeFill="text1" w:themeFillTint="A6"/>
          </w:tcPr>
          <w:p w:rsidR="00835CA5" w:rsidRPr="003C4909" w:rsidRDefault="00835CA5" w:rsidP="003C4909">
            <w:pPr>
              <w:spacing w:line="276" w:lineRule="auto"/>
              <w:rPr>
                <w:rFonts w:ascii="Arial" w:hAnsi="Arial" w:cs="Arial"/>
                <w:b/>
                <w:color w:val="FFFFFF" w:themeColor="background1"/>
                <w:szCs w:val="22"/>
              </w:rPr>
            </w:pPr>
            <w:r w:rsidRPr="003C4909">
              <w:rPr>
                <w:rFonts w:ascii="Arial" w:hAnsi="Arial" w:cs="Arial"/>
                <w:b/>
                <w:color w:val="FFFFFF" w:themeColor="background1"/>
                <w:szCs w:val="22"/>
              </w:rPr>
              <w:lastRenderedPageBreak/>
              <w:t xml:space="preserve">About you </w:t>
            </w: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jc w:val="right"/>
              <w:rPr>
                <w:rFonts w:ascii="Arial" w:hAnsi="Arial" w:cs="Arial"/>
                <w:b/>
                <w:color w:val="000000" w:themeColor="text1"/>
                <w:szCs w:val="22"/>
              </w:rPr>
            </w:pPr>
            <w:r w:rsidRPr="003C4909">
              <w:rPr>
                <w:rFonts w:ascii="Arial" w:hAnsi="Arial" w:cs="Arial"/>
                <w:b/>
                <w:color w:val="000000" w:themeColor="text1"/>
                <w:szCs w:val="22"/>
              </w:rPr>
              <w:t>Name:</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jc w:val="right"/>
              <w:rPr>
                <w:rFonts w:ascii="Arial" w:hAnsi="Arial" w:cs="Arial"/>
                <w:b/>
                <w:color w:val="000000" w:themeColor="text1"/>
                <w:szCs w:val="22"/>
              </w:rPr>
            </w:pPr>
            <w:r w:rsidRPr="003C4909">
              <w:rPr>
                <w:rFonts w:ascii="Arial" w:hAnsi="Arial" w:cs="Arial"/>
                <w:b/>
                <w:color w:val="000000" w:themeColor="text1"/>
                <w:szCs w:val="22"/>
              </w:rPr>
              <w:t>Email address:</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jc w:val="right"/>
              <w:rPr>
                <w:rFonts w:ascii="Arial" w:hAnsi="Arial" w:cs="Arial"/>
                <w:b/>
                <w:color w:val="000000" w:themeColor="text1"/>
                <w:szCs w:val="22"/>
              </w:rPr>
            </w:pPr>
            <w:r w:rsidRPr="003C4909">
              <w:rPr>
                <w:rFonts w:ascii="Arial" w:hAnsi="Arial" w:cs="Arial"/>
                <w:b/>
                <w:color w:val="000000" w:themeColor="text1"/>
                <w:szCs w:val="22"/>
              </w:rPr>
              <w:t>Telephone:</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13858" w:type="dxa"/>
            <w:gridSpan w:val="2"/>
            <w:shd w:val="clear" w:color="auto" w:fill="595959" w:themeFill="text1" w:themeFillTint="A6"/>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FFFFFF" w:themeColor="background1"/>
                <w:szCs w:val="22"/>
              </w:rPr>
              <w:t>About your business</w:t>
            </w: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jc w:val="right"/>
              <w:rPr>
                <w:rFonts w:ascii="Arial" w:hAnsi="Arial" w:cs="Arial"/>
                <w:b/>
                <w:color w:val="000000" w:themeColor="text1"/>
                <w:szCs w:val="22"/>
              </w:rPr>
            </w:pPr>
            <w:r w:rsidRPr="003C4909">
              <w:rPr>
                <w:rFonts w:ascii="Arial" w:hAnsi="Arial" w:cs="Arial"/>
                <w:b/>
                <w:color w:val="000000" w:themeColor="text1"/>
                <w:szCs w:val="22"/>
              </w:rPr>
              <w:t>Company name:</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jc w:val="right"/>
              <w:rPr>
                <w:rFonts w:ascii="Arial" w:hAnsi="Arial" w:cs="Arial"/>
                <w:b/>
                <w:color w:val="000000" w:themeColor="text1"/>
                <w:szCs w:val="22"/>
              </w:rPr>
            </w:pPr>
            <w:r w:rsidRPr="003C4909">
              <w:rPr>
                <w:rFonts w:ascii="Arial" w:hAnsi="Arial" w:cs="Arial"/>
                <w:b/>
                <w:color w:val="000000" w:themeColor="text1"/>
                <w:szCs w:val="22"/>
              </w:rPr>
              <w:t>Participant type:</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13858" w:type="dxa"/>
            <w:gridSpan w:val="2"/>
            <w:shd w:val="clear" w:color="auto" w:fill="595959" w:themeFill="text1" w:themeFillTint="A6"/>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FFFFFF" w:themeColor="background1"/>
                <w:szCs w:val="22"/>
              </w:rPr>
              <w:t>Confidentiality</w:t>
            </w: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Does your response contain confidential information?</w:t>
            </w:r>
          </w:p>
        </w:tc>
        <w:tc>
          <w:tcPr>
            <w:tcW w:w="7654" w:type="dxa"/>
          </w:tcPr>
          <w:p w:rsidR="00835CA5" w:rsidRPr="003C4909" w:rsidRDefault="00835CA5" w:rsidP="003C4909">
            <w:pPr>
              <w:spacing w:line="276" w:lineRule="auto"/>
              <w:rPr>
                <w:rFonts w:ascii="Arial" w:hAnsi="Arial" w:cs="Arial"/>
                <w:color w:val="000000" w:themeColor="text1"/>
                <w:szCs w:val="22"/>
              </w:rPr>
            </w:pPr>
            <w:r w:rsidRPr="003C4909">
              <w:rPr>
                <w:rFonts w:ascii="Arial" w:hAnsi="Arial" w:cs="Arial"/>
                <w:color w:val="000000" w:themeColor="text1"/>
                <w:szCs w:val="22"/>
              </w:rPr>
              <w:t>YES/NO</w:t>
            </w: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 xml:space="preserve">Do you want your responses to this Call for Information relating to the merits of alternatives models to be passed on to UK Finance for its consideration on an </w:t>
            </w:r>
            <w:proofErr w:type="spellStart"/>
            <w:r w:rsidRPr="003C4909">
              <w:rPr>
                <w:rFonts w:ascii="Arial" w:hAnsi="Arial" w:cs="Arial"/>
                <w:b/>
                <w:color w:val="000000" w:themeColor="text1"/>
                <w:szCs w:val="22"/>
              </w:rPr>
              <w:t>anonymised</w:t>
            </w:r>
            <w:proofErr w:type="spellEnd"/>
            <w:r w:rsidRPr="003C4909">
              <w:rPr>
                <w:rFonts w:ascii="Arial" w:hAnsi="Arial" w:cs="Arial"/>
                <w:b/>
                <w:color w:val="000000" w:themeColor="text1"/>
                <w:szCs w:val="22"/>
              </w:rPr>
              <w:t xml:space="preserve"> or attributed/names basis?</w:t>
            </w:r>
          </w:p>
        </w:tc>
        <w:tc>
          <w:tcPr>
            <w:tcW w:w="7654" w:type="dxa"/>
          </w:tcPr>
          <w:p w:rsidR="00835CA5" w:rsidRPr="003C4909" w:rsidRDefault="00835CA5" w:rsidP="003C4909">
            <w:pPr>
              <w:spacing w:line="276" w:lineRule="auto"/>
              <w:rPr>
                <w:rFonts w:ascii="Arial" w:hAnsi="Arial" w:cs="Arial"/>
                <w:color w:val="000000" w:themeColor="text1"/>
                <w:szCs w:val="22"/>
              </w:rPr>
            </w:pPr>
            <w:proofErr w:type="spellStart"/>
            <w:r w:rsidRPr="003C4909">
              <w:rPr>
                <w:rFonts w:ascii="Arial" w:hAnsi="Arial" w:cs="Arial"/>
                <w:color w:val="000000" w:themeColor="text1"/>
                <w:szCs w:val="22"/>
              </w:rPr>
              <w:t>ANONYMISED</w:t>
            </w:r>
            <w:proofErr w:type="spellEnd"/>
            <w:r w:rsidRPr="003C4909">
              <w:rPr>
                <w:rFonts w:ascii="Arial" w:hAnsi="Arial" w:cs="Arial"/>
                <w:color w:val="000000" w:themeColor="text1"/>
                <w:szCs w:val="22"/>
              </w:rPr>
              <w:t xml:space="preserve"> BASIS  / NAMED OR ATTRIBUTED BASIS</w:t>
            </w:r>
          </w:p>
        </w:tc>
      </w:tr>
      <w:tr w:rsidR="00835CA5" w:rsidRPr="00790318" w:rsidTr="003F08EA">
        <w:tc>
          <w:tcPr>
            <w:tcW w:w="13858" w:type="dxa"/>
            <w:gridSpan w:val="2"/>
            <w:shd w:val="clear" w:color="auto" w:fill="595959" w:themeFill="text1" w:themeFillTint="A6"/>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FFFFFF" w:themeColor="background1"/>
                <w:szCs w:val="22"/>
              </w:rPr>
              <w:t>Overall view of the proposal</w:t>
            </w: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Do you support the proposed rule change?</w:t>
            </w:r>
          </w:p>
        </w:tc>
        <w:tc>
          <w:tcPr>
            <w:tcW w:w="7654" w:type="dxa"/>
          </w:tcPr>
          <w:p w:rsidR="00835CA5" w:rsidRPr="003C4909" w:rsidRDefault="00835CA5" w:rsidP="003C4909">
            <w:pPr>
              <w:spacing w:line="276" w:lineRule="auto"/>
              <w:rPr>
                <w:rFonts w:ascii="Arial" w:hAnsi="Arial" w:cs="Arial"/>
                <w:color w:val="000000" w:themeColor="text1"/>
                <w:szCs w:val="22"/>
              </w:rPr>
            </w:pPr>
            <w:r w:rsidRPr="003C4909">
              <w:rPr>
                <w:rFonts w:ascii="Arial" w:hAnsi="Arial" w:cs="Arial"/>
                <w:color w:val="000000" w:themeColor="text1"/>
                <w:szCs w:val="22"/>
              </w:rPr>
              <w:t>YES/NO</w:t>
            </w: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Please give a brief summary of your reason.</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13858" w:type="dxa"/>
            <w:gridSpan w:val="2"/>
            <w:shd w:val="clear" w:color="auto" w:fill="595959" w:themeFill="text1" w:themeFillTint="A6"/>
          </w:tcPr>
          <w:p w:rsidR="00835CA5" w:rsidRPr="003C4909" w:rsidRDefault="00835CA5" w:rsidP="003C4909">
            <w:pPr>
              <w:spacing w:line="276" w:lineRule="auto"/>
              <w:rPr>
                <w:rFonts w:ascii="Arial" w:hAnsi="Arial" w:cs="Arial"/>
                <w:color w:val="000000" w:themeColor="text1"/>
                <w:szCs w:val="22"/>
              </w:rPr>
            </w:pPr>
            <w:r w:rsidRPr="003C4909">
              <w:rPr>
                <w:rFonts w:ascii="Arial" w:hAnsi="Arial" w:cs="Arial"/>
                <w:b/>
                <w:color w:val="FFFFFF" w:themeColor="background1"/>
                <w:szCs w:val="22"/>
              </w:rPr>
              <w:t xml:space="preserve">Question Group A - </w:t>
            </w:r>
            <w:r w:rsidRPr="003C4909">
              <w:rPr>
                <w:rFonts w:ascii="Arial" w:eastAsiaTheme="majorEastAsia" w:hAnsi="Arial" w:cs="Arial"/>
                <w:b/>
                <w:color w:val="FFFFFF" w:themeColor="background1"/>
                <w:szCs w:val="22"/>
              </w:rPr>
              <w:t>The use of the FPS Rules to support a voluntary industry initiative</w:t>
            </w:r>
          </w:p>
        </w:tc>
      </w:tr>
      <w:tr w:rsidR="00835CA5" w:rsidRPr="00790318" w:rsidTr="003F08EA">
        <w:tc>
          <w:tcPr>
            <w:tcW w:w="6204" w:type="dxa"/>
            <w:shd w:val="clear" w:color="auto" w:fill="F2F2F2" w:themeFill="background1" w:themeFillShade="F2"/>
          </w:tcPr>
          <w:p w:rsidR="00A248A2"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A1) What are your views on using an FPS Rule to provide a funding mechanism for the Code’s no-blame fund?</w:t>
            </w:r>
          </w:p>
        </w:tc>
        <w:tc>
          <w:tcPr>
            <w:tcW w:w="7654" w:type="dxa"/>
            <w:shd w:val="clear" w:color="auto" w:fill="auto"/>
          </w:tcPr>
          <w:p w:rsidR="00835CA5" w:rsidRPr="003C4909" w:rsidRDefault="00835CA5" w:rsidP="003C4909">
            <w:pPr>
              <w:spacing w:line="276" w:lineRule="auto"/>
              <w:rPr>
                <w:rFonts w:ascii="Arial" w:hAnsi="Arial" w:cs="Arial"/>
                <w:b/>
                <w:color w:val="FFFFFF" w:themeColor="background1"/>
                <w:szCs w:val="22"/>
              </w:rPr>
            </w:pPr>
          </w:p>
        </w:tc>
      </w:tr>
      <w:tr w:rsidR="00835CA5" w:rsidRPr="00790318" w:rsidTr="003F08EA">
        <w:tc>
          <w:tcPr>
            <w:tcW w:w="6204" w:type="dxa"/>
            <w:shd w:val="clear" w:color="auto" w:fill="F2F2F2" w:themeFill="background1" w:themeFillShade="F2"/>
          </w:tcPr>
          <w:p w:rsidR="00A248A2"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 xml:space="preserve">A2) If you are a </w:t>
            </w:r>
            <w:proofErr w:type="spellStart"/>
            <w:r w:rsidRPr="003C4909">
              <w:rPr>
                <w:rFonts w:ascii="Arial" w:hAnsi="Arial" w:cs="Arial"/>
                <w:b/>
                <w:color w:val="000000" w:themeColor="text1"/>
                <w:szCs w:val="22"/>
              </w:rPr>
              <w:t>PSP</w:t>
            </w:r>
            <w:proofErr w:type="spellEnd"/>
            <w:r w:rsidRPr="003C4909">
              <w:rPr>
                <w:rFonts w:ascii="Arial" w:hAnsi="Arial" w:cs="Arial"/>
                <w:b/>
                <w:color w:val="000000" w:themeColor="text1"/>
                <w:szCs w:val="22"/>
              </w:rPr>
              <w:t>, what are your views on paying a CRM Fee?</w:t>
            </w:r>
          </w:p>
        </w:tc>
        <w:tc>
          <w:tcPr>
            <w:tcW w:w="7654" w:type="dxa"/>
            <w:shd w:val="clear" w:color="auto" w:fill="auto"/>
          </w:tcPr>
          <w:p w:rsidR="00835CA5" w:rsidRPr="003C4909" w:rsidRDefault="00835CA5" w:rsidP="003C4909">
            <w:pPr>
              <w:spacing w:line="276" w:lineRule="auto"/>
              <w:rPr>
                <w:rFonts w:ascii="Arial" w:hAnsi="Arial" w:cs="Arial"/>
                <w:b/>
                <w:color w:val="FFFFFF" w:themeColor="background1"/>
                <w:szCs w:val="22"/>
              </w:rPr>
            </w:pPr>
          </w:p>
        </w:tc>
      </w:tr>
      <w:tr w:rsidR="00835CA5" w:rsidRPr="00790318" w:rsidTr="003F08EA">
        <w:tc>
          <w:tcPr>
            <w:tcW w:w="6204" w:type="dxa"/>
            <w:shd w:val="clear" w:color="auto" w:fill="F2F2F2" w:themeFill="background1" w:themeFillShade="F2"/>
          </w:tcPr>
          <w:p w:rsidR="00A248A2"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 xml:space="preserve">A3) If you are a </w:t>
            </w:r>
            <w:proofErr w:type="spellStart"/>
            <w:r w:rsidRPr="003C4909">
              <w:rPr>
                <w:rFonts w:ascii="Arial" w:hAnsi="Arial" w:cs="Arial"/>
                <w:b/>
                <w:color w:val="000000" w:themeColor="text1"/>
                <w:szCs w:val="22"/>
              </w:rPr>
              <w:t>PSP</w:t>
            </w:r>
            <w:proofErr w:type="spellEnd"/>
            <w:r w:rsidRPr="003C4909">
              <w:rPr>
                <w:rFonts w:ascii="Arial" w:hAnsi="Arial" w:cs="Arial"/>
                <w:b/>
                <w:color w:val="000000" w:themeColor="text1"/>
                <w:szCs w:val="22"/>
              </w:rPr>
              <w:t>, would the implementation of the proposed FPS Rule have any cost implications for you (other than the CRM Fee itself)?</w:t>
            </w:r>
          </w:p>
        </w:tc>
        <w:tc>
          <w:tcPr>
            <w:tcW w:w="7654" w:type="dxa"/>
            <w:shd w:val="clear" w:color="auto" w:fill="auto"/>
          </w:tcPr>
          <w:p w:rsidR="00835CA5" w:rsidRPr="003C4909" w:rsidRDefault="00835CA5" w:rsidP="003C4909">
            <w:pPr>
              <w:spacing w:line="276" w:lineRule="auto"/>
              <w:rPr>
                <w:rFonts w:ascii="Arial" w:hAnsi="Arial" w:cs="Arial"/>
                <w:b/>
                <w:color w:val="FFFFFF" w:themeColor="background1"/>
                <w:szCs w:val="22"/>
              </w:rPr>
            </w:pPr>
          </w:p>
        </w:tc>
      </w:tr>
      <w:tr w:rsidR="00835CA5" w:rsidRPr="00790318" w:rsidTr="003F08EA">
        <w:tc>
          <w:tcPr>
            <w:tcW w:w="6204" w:type="dxa"/>
            <w:shd w:val="clear" w:color="auto" w:fill="F2F2F2" w:themeFill="background1" w:themeFillShade="F2"/>
          </w:tcPr>
          <w:p w:rsidR="00A248A2"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 xml:space="preserve">A4) What are you views on the interaction between the proposed FPS Rule and the proposed FPS CRM Fee Governance Group?  </w:t>
            </w:r>
          </w:p>
          <w:p w:rsidR="003C4909" w:rsidRDefault="003C4909" w:rsidP="003C4909">
            <w:pPr>
              <w:spacing w:line="276" w:lineRule="auto"/>
              <w:rPr>
                <w:rFonts w:ascii="Arial" w:hAnsi="Arial" w:cs="Arial"/>
                <w:b/>
                <w:color w:val="000000" w:themeColor="text1"/>
                <w:szCs w:val="22"/>
              </w:rPr>
            </w:pPr>
          </w:p>
          <w:p w:rsidR="003C4909" w:rsidRPr="003C4909" w:rsidRDefault="003C4909" w:rsidP="003C4909">
            <w:pPr>
              <w:spacing w:line="276" w:lineRule="auto"/>
              <w:rPr>
                <w:rFonts w:ascii="Arial" w:hAnsi="Arial" w:cs="Arial"/>
                <w:b/>
                <w:color w:val="000000" w:themeColor="text1"/>
                <w:szCs w:val="22"/>
              </w:rPr>
            </w:pPr>
          </w:p>
        </w:tc>
        <w:tc>
          <w:tcPr>
            <w:tcW w:w="7654" w:type="dxa"/>
            <w:shd w:val="clear" w:color="auto" w:fill="auto"/>
          </w:tcPr>
          <w:p w:rsidR="00835CA5" w:rsidRPr="003C4909" w:rsidRDefault="00835CA5" w:rsidP="003C4909">
            <w:pPr>
              <w:spacing w:line="276" w:lineRule="auto"/>
              <w:rPr>
                <w:rFonts w:ascii="Arial" w:hAnsi="Arial" w:cs="Arial"/>
                <w:b/>
                <w:color w:val="FFFFFF" w:themeColor="background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lastRenderedPageBreak/>
              <w:t xml:space="preserve">A5) </w:t>
            </w:r>
            <w:r w:rsidR="00A248A2" w:rsidRPr="003C4909">
              <w:rPr>
                <w:rFonts w:ascii="Arial" w:hAnsi="Arial" w:cs="Arial"/>
                <w:b/>
                <w:color w:val="000000" w:themeColor="text1"/>
                <w:szCs w:val="22"/>
              </w:rPr>
              <w:t xml:space="preserve">If you are a </w:t>
            </w:r>
            <w:proofErr w:type="spellStart"/>
            <w:r w:rsidR="00A248A2" w:rsidRPr="003C4909">
              <w:rPr>
                <w:rFonts w:ascii="Arial" w:hAnsi="Arial" w:cs="Arial"/>
                <w:b/>
                <w:color w:val="000000" w:themeColor="text1"/>
                <w:szCs w:val="22"/>
              </w:rPr>
              <w:t>PSP</w:t>
            </w:r>
            <w:proofErr w:type="spellEnd"/>
            <w:r w:rsidR="00A248A2" w:rsidRPr="003C4909">
              <w:rPr>
                <w:rFonts w:ascii="Arial" w:hAnsi="Arial" w:cs="Arial"/>
                <w:b/>
                <w:color w:val="000000" w:themeColor="text1"/>
                <w:szCs w:val="22"/>
              </w:rPr>
              <w:t>, d</w:t>
            </w:r>
            <w:r w:rsidRPr="003C4909">
              <w:rPr>
                <w:rFonts w:ascii="Arial" w:hAnsi="Arial" w:cs="Arial"/>
                <w:b/>
                <w:color w:val="000000" w:themeColor="text1"/>
                <w:szCs w:val="22"/>
              </w:rPr>
              <w:t>o the proposed governance arrangements to deal with changes to the CRM Fee provide you with sufficient ability to be able to influence and manage fluctuations in the level of the CRM Fee?</w:t>
            </w:r>
          </w:p>
        </w:tc>
        <w:tc>
          <w:tcPr>
            <w:tcW w:w="7654" w:type="dxa"/>
            <w:shd w:val="clear" w:color="auto" w:fill="auto"/>
          </w:tcPr>
          <w:p w:rsidR="00835CA5" w:rsidRPr="003C4909" w:rsidRDefault="00835CA5" w:rsidP="003C4909">
            <w:pPr>
              <w:spacing w:line="276" w:lineRule="auto"/>
              <w:rPr>
                <w:rFonts w:ascii="Arial" w:hAnsi="Arial" w:cs="Arial"/>
                <w:b/>
                <w:color w:val="FFFFFF" w:themeColor="background1"/>
                <w:szCs w:val="22"/>
              </w:rPr>
            </w:pPr>
          </w:p>
        </w:tc>
      </w:tr>
      <w:tr w:rsidR="00835CA5" w:rsidRPr="00790318" w:rsidTr="003F08EA">
        <w:tc>
          <w:tcPr>
            <w:tcW w:w="13858" w:type="dxa"/>
            <w:gridSpan w:val="2"/>
            <w:shd w:val="clear" w:color="auto" w:fill="595959" w:themeFill="text1" w:themeFillTint="A6"/>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FFFFFF" w:themeColor="background1"/>
                <w:szCs w:val="22"/>
              </w:rPr>
              <w:t>Question Group B – End-user benefit</w:t>
            </w: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 xml:space="preserve">B1) Do you think that the proposed rule supports improved consumer outcomes?  Does this vary depending on whether the consumer’s </w:t>
            </w:r>
            <w:proofErr w:type="spellStart"/>
            <w:r w:rsidRPr="003C4909">
              <w:rPr>
                <w:rFonts w:ascii="Arial" w:hAnsi="Arial" w:cs="Arial"/>
                <w:b/>
                <w:color w:val="000000" w:themeColor="text1"/>
                <w:szCs w:val="22"/>
              </w:rPr>
              <w:t>PSP</w:t>
            </w:r>
            <w:proofErr w:type="spellEnd"/>
            <w:r w:rsidRPr="003C4909">
              <w:rPr>
                <w:rFonts w:ascii="Arial" w:hAnsi="Arial" w:cs="Arial"/>
                <w:b/>
                <w:color w:val="000000" w:themeColor="text1"/>
                <w:szCs w:val="22"/>
              </w:rPr>
              <w:t xml:space="preserve"> has or has not signed up to the Code? </w:t>
            </w:r>
          </w:p>
          <w:p w:rsidR="003C4909" w:rsidRPr="003C4909" w:rsidRDefault="003C4909" w:rsidP="003C4909">
            <w:pPr>
              <w:spacing w:line="276" w:lineRule="auto"/>
              <w:rPr>
                <w:rFonts w:ascii="Arial" w:hAnsi="Arial" w:cs="Arial"/>
                <w:b/>
                <w:color w:val="000000" w:themeColor="text1"/>
                <w:szCs w:val="22"/>
              </w:rPr>
            </w:pP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 xml:space="preserve">B2) </w:t>
            </w:r>
            <w:r w:rsidR="00A248A2" w:rsidRPr="003C4909">
              <w:rPr>
                <w:rFonts w:ascii="Arial" w:hAnsi="Arial" w:cs="Arial"/>
                <w:b/>
                <w:color w:val="000000" w:themeColor="text1"/>
                <w:szCs w:val="22"/>
              </w:rPr>
              <w:t xml:space="preserve">Would the proposed rile create </w:t>
            </w:r>
            <w:r w:rsidRPr="003C4909">
              <w:rPr>
                <w:rFonts w:ascii="Arial" w:hAnsi="Arial" w:cs="Arial"/>
                <w:b/>
                <w:color w:val="000000" w:themeColor="text1"/>
                <w:szCs w:val="22"/>
              </w:rPr>
              <w:t xml:space="preserve">incentives for </w:t>
            </w:r>
            <w:proofErr w:type="spellStart"/>
            <w:r w:rsidRPr="003C4909">
              <w:rPr>
                <w:rFonts w:ascii="Arial" w:hAnsi="Arial" w:cs="Arial"/>
                <w:b/>
                <w:color w:val="000000" w:themeColor="text1"/>
                <w:szCs w:val="22"/>
              </w:rPr>
              <w:t>PSPs</w:t>
            </w:r>
            <w:proofErr w:type="spellEnd"/>
            <w:r w:rsidRPr="003C4909">
              <w:rPr>
                <w:rFonts w:ascii="Arial" w:hAnsi="Arial" w:cs="Arial"/>
                <w:b/>
                <w:color w:val="000000" w:themeColor="text1"/>
                <w:szCs w:val="22"/>
              </w:rPr>
              <w:t xml:space="preserve"> to</w:t>
            </w:r>
            <w:r w:rsidR="00A248A2" w:rsidRPr="003C4909">
              <w:rPr>
                <w:rFonts w:ascii="Arial" w:hAnsi="Arial" w:cs="Arial"/>
                <w:b/>
                <w:color w:val="000000" w:themeColor="text1"/>
                <w:szCs w:val="22"/>
              </w:rPr>
              <w:t xml:space="preserve"> invest further to </w:t>
            </w:r>
            <w:r w:rsidRPr="003C4909">
              <w:rPr>
                <w:rFonts w:ascii="Arial" w:hAnsi="Arial" w:cs="Arial"/>
                <w:b/>
                <w:color w:val="000000" w:themeColor="text1"/>
                <w:szCs w:val="22"/>
              </w:rPr>
              <w:t>help reduce fraud for their own customers?</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 xml:space="preserve">B3) Are </w:t>
            </w:r>
            <w:r w:rsidRPr="003C4909">
              <w:rPr>
                <w:rFonts w:ascii="Arial" w:hAnsi="Arial" w:cs="Arial"/>
                <w:b/>
                <w:bCs/>
                <w:iCs/>
                <w:color w:val="000000" w:themeColor="text1"/>
                <w:szCs w:val="22"/>
              </w:rPr>
              <w:t>these improved consumer outcomes dependent on the proposed CRM Fee, or do you think that there are alternative ways that these improved consumer outcomes could be delivered (e.g. a different FPS rule or other means altogether)? Please provide an explanation of your view.</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B4) How do you currently plan to ensure your customers are reimbursed in ‘no blame’ situations?  Would this change if the proposed FPS Rule were (or were not) implemented?</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rPr>
          <w:trHeight w:val="345"/>
        </w:trPr>
        <w:tc>
          <w:tcPr>
            <w:tcW w:w="13858" w:type="dxa"/>
            <w:gridSpan w:val="2"/>
            <w:shd w:val="clear" w:color="auto" w:fill="595959" w:themeFill="text1" w:themeFillTint="A6"/>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FFFFFF" w:themeColor="background1"/>
                <w:szCs w:val="22"/>
              </w:rPr>
              <w:t>Question Group C - Competitive effects</w:t>
            </w: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 xml:space="preserve">C1) </w:t>
            </w:r>
            <w:r w:rsidRPr="003C4909">
              <w:rPr>
                <w:rFonts w:ascii="Arial" w:hAnsi="Arial" w:cs="Arial"/>
                <w:b/>
                <w:szCs w:val="22"/>
              </w:rPr>
              <w:t>What are your views on the FPS Rule being used to fund reimbursement in relation to no blame APP Scams executed over FPS, CHAPS and on-us transactions?</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 xml:space="preserve">C2) </w:t>
            </w:r>
            <w:r w:rsidRPr="003C4909">
              <w:rPr>
                <w:rFonts w:ascii="Arial" w:hAnsi="Arial" w:cs="Arial"/>
                <w:b/>
                <w:szCs w:val="22"/>
              </w:rPr>
              <w:t xml:space="preserve">What are your views on the likely development of the level of no blame APP Scams executed over FPS, CHAPS and on-us transactions in the future?  </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lastRenderedPageBreak/>
              <w:t xml:space="preserve">C3) </w:t>
            </w:r>
            <w:r w:rsidRPr="003C4909">
              <w:rPr>
                <w:rFonts w:ascii="Arial" w:hAnsi="Arial" w:cs="Arial"/>
                <w:b/>
                <w:szCs w:val="22"/>
              </w:rPr>
              <w:t xml:space="preserve">Do you think the CRM Fee would cause your </w:t>
            </w:r>
            <w:proofErr w:type="gramStart"/>
            <w:r w:rsidRPr="003C4909">
              <w:rPr>
                <w:rFonts w:ascii="Arial" w:hAnsi="Arial" w:cs="Arial"/>
                <w:b/>
                <w:szCs w:val="22"/>
              </w:rPr>
              <w:t>firm,</w:t>
            </w:r>
            <w:proofErr w:type="gramEnd"/>
            <w:r w:rsidRPr="003C4909">
              <w:rPr>
                <w:rFonts w:ascii="Arial" w:hAnsi="Arial" w:cs="Arial"/>
                <w:b/>
                <w:szCs w:val="22"/>
              </w:rPr>
              <w:t xml:space="preserve"> or </w:t>
            </w:r>
            <w:proofErr w:type="spellStart"/>
            <w:r w:rsidRPr="003C4909">
              <w:rPr>
                <w:rFonts w:ascii="Arial" w:hAnsi="Arial" w:cs="Arial"/>
                <w:b/>
                <w:szCs w:val="22"/>
              </w:rPr>
              <w:t>PSPs</w:t>
            </w:r>
            <w:proofErr w:type="spellEnd"/>
            <w:r w:rsidRPr="003C4909">
              <w:rPr>
                <w:rFonts w:ascii="Arial" w:hAnsi="Arial" w:cs="Arial"/>
                <w:b/>
                <w:szCs w:val="22"/>
              </w:rPr>
              <w:t xml:space="preserve"> generally, to consider using alternative payment systems for transactions?  </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szCs w:val="22"/>
              </w:rPr>
              <w:t xml:space="preserve">C4) If you are a </w:t>
            </w:r>
            <w:proofErr w:type="spellStart"/>
            <w:r w:rsidRPr="003C4909">
              <w:rPr>
                <w:rFonts w:ascii="Arial" w:hAnsi="Arial" w:cs="Arial"/>
                <w:b/>
                <w:szCs w:val="22"/>
              </w:rPr>
              <w:t>PSP</w:t>
            </w:r>
            <w:proofErr w:type="spellEnd"/>
            <w:r w:rsidRPr="003C4909">
              <w:rPr>
                <w:rFonts w:ascii="Arial" w:hAnsi="Arial" w:cs="Arial"/>
                <w:b/>
                <w:szCs w:val="22"/>
              </w:rPr>
              <w:t>, and given your particular business model and use of FPS, do you think the CRM Fee would have a noticeable effect on your overall costs?  (How would these costs compare to those you would incur through the approach you described at B4?)</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color w:val="000000" w:themeColor="text1"/>
                <w:szCs w:val="22"/>
              </w:rPr>
            </w:pPr>
            <w:r w:rsidRPr="003C4909">
              <w:rPr>
                <w:rFonts w:ascii="Arial" w:hAnsi="Arial" w:cs="Arial"/>
                <w:b/>
                <w:szCs w:val="22"/>
              </w:rPr>
              <w:t xml:space="preserve">C5) Do you think that uncertainty over the future level of the CRM Fee would create challenges for your firm or </w:t>
            </w:r>
            <w:proofErr w:type="spellStart"/>
            <w:r w:rsidRPr="003C4909">
              <w:rPr>
                <w:rFonts w:ascii="Arial" w:hAnsi="Arial" w:cs="Arial"/>
                <w:b/>
                <w:szCs w:val="22"/>
              </w:rPr>
              <w:t>PSPs</w:t>
            </w:r>
            <w:proofErr w:type="spellEnd"/>
            <w:r w:rsidRPr="003C4909">
              <w:rPr>
                <w:rFonts w:ascii="Arial" w:hAnsi="Arial" w:cs="Arial"/>
                <w:b/>
                <w:szCs w:val="22"/>
              </w:rPr>
              <w:t xml:space="preserve"> generally? (How does this compare to the uncertainty attached to the approach you described at B4?)</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color w:val="000000" w:themeColor="text1"/>
                <w:szCs w:val="22"/>
              </w:rPr>
            </w:pPr>
            <w:r w:rsidRPr="003C4909">
              <w:rPr>
                <w:rFonts w:ascii="Arial" w:hAnsi="Arial" w:cs="Arial"/>
                <w:b/>
                <w:szCs w:val="22"/>
              </w:rPr>
              <w:t>C6) What are your views on using the volume of transactions as the basis for calculating the CRM Fee, or would a different metric be better?</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color w:val="000000" w:themeColor="text1"/>
                <w:szCs w:val="22"/>
              </w:rPr>
            </w:pPr>
            <w:r w:rsidRPr="003C4909">
              <w:rPr>
                <w:rFonts w:ascii="Arial" w:hAnsi="Arial" w:cs="Arial"/>
                <w:b/>
                <w:szCs w:val="22"/>
              </w:rPr>
              <w:t>C7) What are your views on the calculation of the CRM Fee being based on sending transactions only as opposed to applying on both sending and receiving transactions?</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color w:val="000000" w:themeColor="text1"/>
                <w:szCs w:val="22"/>
              </w:rPr>
            </w:pPr>
            <w:r w:rsidRPr="003C4909">
              <w:rPr>
                <w:rFonts w:ascii="Arial" w:hAnsi="Arial" w:cs="Arial"/>
                <w:b/>
                <w:szCs w:val="22"/>
              </w:rPr>
              <w:t xml:space="preserve">C8) Do you think that there will be any cross-subsidisation between </w:t>
            </w:r>
            <w:proofErr w:type="spellStart"/>
            <w:r w:rsidRPr="003C4909">
              <w:rPr>
                <w:rFonts w:ascii="Arial" w:hAnsi="Arial" w:cs="Arial"/>
                <w:b/>
                <w:szCs w:val="22"/>
              </w:rPr>
              <w:t>PSPs</w:t>
            </w:r>
            <w:proofErr w:type="spellEnd"/>
            <w:r w:rsidRPr="003C4909">
              <w:rPr>
                <w:rFonts w:ascii="Arial" w:hAnsi="Arial" w:cs="Arial"/>
                <w:b/>
                <w:szCs w:val="22"/>
              </w:rPr>
              <w:t xml:space="preserve"> and</w:t>
            </w:r>
            <w:r w:rsidR="00A248A2" w:rsidRPr="003C4909">
              <w:rPr>
                <w:rFonts w:ascii="Arial" w:hAnsi="Arial" w:cs="Arial"/>
                <w:b/>
                <w:szCs w:val="22"/>
              </w:rPr>
              <w:t>,</w:t>
            </w:r>
            <w:r w:rsidRPr="003C4909">
              <w:rPr>
                <w:rFonts w:ascii="Arial" w:hAnsi="Arial" w:cs="Arial"/>
                <w:b/>
                <w:szCs w:val="22"/>
              </w:rPr>
              <w:t xml:space="preserve"> if so, would this be likely to be significant?</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szCs w:val="22"/>
              </w:rPr>
            </w:pPr>
            <w:r w:rsidRPr="003C4909">
              <w:rPr>
                <w:rFonts w:ascii="Arial" w:hAnsi="Arial" w:cs="Arial"/>
                <w:b/>
                <w:szCs w:val="22"/>
              </w:rPr>
              <w:t xml:space="preserve">C9) </w:t>
            </w:r>
            <w:r w:rsidR="00A248A2" w:rsidRPr="003C4909">
              <w:rPr>
                <w:rFonts w:ascii="Arial" w:hAnsi="Arial" w:cs="Arial"/>
                <w:b/>
                <w:szCs w:val="22"/>
              </w:rPr>
              <w:t xml:space="preserve">If you are a </w:t>
            </w:r>
            <w:proofErr w:type="spellStart"/>
            <w:r w:rsidR="00A248A2" w:rsidRPr="003C4909">
              <w:rPr>
                <w:rFonts w:ascii="Arial" w:hAnsi="Arial" w:cs="Arial"/>
                <w:b/>
                <w:szCs w:val="22"/>
              </w:rPr>
              <w:t>PSP</w:t>
            </w:r>
            <w:proofErr w:type="spellEnd"/>
            <w:r w:rsidR="00A248A2" w:rsidRPr="003C4909">
              <w:rPr>
                <w:rFonts w:ascii="Arial" w:hAnsi="Arial" w:cs="Arial"/>
                <w:b/>
                <w:szCs w:val="22"/>
              </w:rPr>
              <w:t xml:space="preserve"> - i</w:t>
            </w:r>
            <w:r w:rsidRPr="003C4909">
              <w:rPr>
                <w:rFonts w:ascii="Arial" w:hAnsi="Arial" w:cs="Arial"/>
                <w:b/>
                <w:szCs w:val="22"/>
              </w:rPr>
              <w:t>n the case of a large APP scam, do you value the risk-sharing or insurance element of the no blame fund or would there be alternative ways you could offset this risk and maintain the same protection for consumers (without recourse to the no blame fund)?</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szCs w:val="22"/>
              </w:rPr>
            </w:pPr>
            <w:r w:rsidRPr="003C4909">
              <w:rPr>
                <w:rFonts w:ascii="Arial" w:hAnsi="Arial" w:cs="Arial"/>
                <w:b/>
                <w:szCs w:val="22"/>
              </w:rPr>
              <w:t>C10) Are there other benefits of sharing the risk of no blame APP scams that Pay.UK should be aware of?</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13858" w:type="dxa"/>
            <w:gridSpan w:val="2"/>
            <w:shd w:val="clear" w:color="auto" w:fill="595959" w:themeFill="text1" w:themeFillTint="A6"/>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FFFFFF" w:themeColor="background1"/>
                <w:szCs w:val="22"/>
              </w:rPr>
              <w:lastRenderedPageBreak/>
              <w:t>Question Group D – Proportionality</w:t>
            </w: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 xml:space="preserve">D1) </w:t>
            </w:r>
            <w:r w:rsidRPr="003C4909">
              <w:rPr>
                <w:rFonts w:ascii="Arial" w:hAnsi="Arial" w:cs="Arial"/>
                <w:b/>
                <w:szCs w:val="22"/>
              </w:rPr>
              <w:t>What are your views on the principle of having exemptions from the requirement to fund the no blame pot?</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 xml:space="preserve">D2) </w:t>
            </w:r>
            <w:r w:rsidRPr="003C4909">
              <w:rPr>
                <w:rFonts w:ascii="Arial" w:hAnsi="Arial" w:cs="Arial"/>
                <w:b/>
                <w:szCs w:val="22"/>
              </w:rPr>
              <w:t>What are your views on exempting Payments Originating Overseas and Returns from the CRM Fee? Do you have any evidence that this would be an appropriate exemption?</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szCs w:val="22"/>
              </w:rPr>
              <w:t>D3) What are your views on exempting small FPS Direct Participants from making a contribution to the no blame fund? Do you have any evidence that this would be an appropriate exemption?</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szCs w:val="22"/>
              </w:rPr>
              <w:t xml:space="preserve">D4) What are your views on using 100,000 as the level of transactions at which to set such an exemption? </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szCs w:val="22"/>
              </w:rPr>
              <w:t xml:space="preserve">D5) What are your views on exempting </w:t>
            </w:r>
            <w:proofErr w:type="spellStart"/>
            <w:r w:rsidRPr="003C4909">
              <w:rPr>
                <w:rFonts w:ascii="Arial" w:hAnsi="Arial" w:cs="Arial"/>
                <w:b/>
                <w:szCs w:val="22"/>
              </w:rPr>
              <w:t>PSPs</w:t>
            </w:r>
            <w:proofErr w:type="spellEnd"/>
            <w:r w:rsidRPr="003C4909">
              <w:rPr>
                <w:rFonts w:ascii="Arial" w:hAnsi="Arial" w:cs="Arial"/>
                <w:b/>
                <w:szCs w:val="22"/>
              </w:rPr>
              <w:t xml:space="preserve"> who do not have current or payment account offerings? Do you have any evidence that this would be an appropriate exemption?</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szCs w:val="22"/>
              </w:rPr>
              <w:t>D6) What are your views on exempting transactions to pre-set accounts from the CRM Fee? Do you have any evidence that this would be an appropriate exemption?</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szCs w:val="22"/>
              </w:rPr>
              <w:t>D7) What are your views on exempting individual transactions below £30 from the CRM Fee? Do you have any evidence that this would be an appropriate exemption?</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Default="00835CA5" w:rsidP="003C4909">
            <w:pPr>
              <w:spacing w:line="276" w:lineRule="auto"/>
              <w:rPr>
                <w:rFonts w:ascii="Arial" w:hAnsi="Arial" w:cs="Arial"/>
                <w:b/>
                <w:szCs w:val="22"/>
              </w:rPr>
            </w:pPr>
            <w:r w:rsidRPr="003C4909">
              <w:rPr>
                <w:rFonts w:ascii="Arial" w:hAnsi="Arial" w:cs="Arial"/>
                <w:b/>
                <w:szCs w:val="22"/>
              </w:rPr>
              <w:t>D8) Is £30 the appropriate cut off point for any low value payment exemption or should this be set at a higher or lower level?</w:t>
            </w:r>
          </w:p>
          <w:p w:rsidR="003C4909" w:rsidRDefault="003C4909" w:rsidP="003C4909">
            <w:pPr>
              <w:spacing w:line="276" w:lineRule="auto"/>
              <w:rPr>
                <w:rFonts w:ascii="Arial" w:hAnsi="Arial" w:cs="Arial"/>
                <w:b/>
                <w:szCs w:val="22"/>
              </w:rPr>
            </w:pPr>
          </w:p>
          <w:p w:rsidR="003C4909" w:rsidRPr="003C4909" w:rsidRDefault="003C4909" w:rsidP="003C4909">
            <w:pPr>
              <w:spacing w:line="276" w:lineRule="auto"/>
              <w:rPr>
                <w:rFonts w:ascii="Arial" w:hAnsi="Arial" w:cs="Arial"/>
                <w:b/>
                <w:color w:val="000000" w:themeColor="text1"/>
                <w:szCs w:val="22"/>
              </w:rPr>
            </w:pP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szCs w:val="22"/>
              </w:rPr>
              <w:lastRenderedPageBreak/>
              <w:t xml:space="preserve">D9) Are there any exemptions that are missing, in particular any the lack of which could make the proposed funding mechanism disproportionate for any particular </w:t>
            </w:r>
            <w:proofErr w:type="spellStart"/>
            <w:r w:rsidRPr="003C4909">
              <w:rPr>
                <w:rFonts w:ascii="Arial" w:hAnsi="Arial" w:cs="Arial"/>
                <w:b/>
                <w:szCs w:val="22"/>
              </w:rPr>
              <w:t>PSPs</w:t>
            </w:r>
            <w:proofErr w:type="spellEnd"/>
            <w:r w:rsidRPr="003C4909">
              <w:rPr>
                <w:rFonts w:ascii="Arial" w:hAnsi="Arial" w:cs="Arial"/>
                <w:b/>
                <w:szCs w:val="22"/>
              </w:rPr>
              <w:t xml:space="preserve"> or transactions?</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szCs w:val="22"/>
              </w:rPr>
              <w:t>D10) What are your views on the proposed FPS Rule retrospectively funding the interim no blame fund?</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13858" w:type="dxa"/>
            <w:gridSpan w:val="2"/>
            <w:shd w:val="clear" w:color="auto" w:fill="595959" w:themeFill="text1" w:themeFillTint="A6"/>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FFFFFF" w:themeColor="background1"/>
                <w:szCs w:val="22"/>
              </w:rPr>
              <w:t>Question Group E – Operational and practical considerations</w:t>
            </w: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E1) Can you foresee any challenges from an operational or practical perspective in implementing and administering the proposed arrangements that Pay.UK should be aware of?</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E2)</w:t>
            </w:r>
            <w:r w:rsidR="00A248A2" w:rsidRPr="003C4909">
              <w:rPr>
                <w:rFonts w:ascii="Arial" w:hAnsi="Arial" w:cs="Arial"/>
                <w:b/>
                <w:color w:val="000000" w:themeColor="text1"/>
                <w:szCs w:val="22"/>
              </w:rPr>
              <w:t xml:space="preserve"> If you are a </w:t>
            </w:r>
            <w:proofErr w:type="spellStart"/>
            <w:r w:rsidR="00A248A2" w:rsidRPr="003C4909">
              <w:rPr>
                <w:rFonts w:ascii="Arial" w:hAnsi="Arial" w:cs="Arial"/>
                <w:b/>
                <w:color w:val="000000" w:themeColor="text1"/>
                <w:szCs w:val="22"/>
              </w:rPr>
              <w:t>PSP</w:t>
            </w:r>
            <w:proofErr w:type="spellEnd"/>
            <w:r w:rsidR="00A248A2" w:rsidRPr="003C4909">
              <w:rPr>
                <w:rFonts w:ascii="Arial" w:hAnsi="Arial" w:cs="Arial"/>
                <w:b/>
                <w:color w:val="000000" w:themeColor="text1"/>
                <w:szCs w:val="22"/>
              </w:rPr>
              <w:t>, a</w:t>
            </w:r>
            <w:r w:rsidRPr="003C4909">
              <w:rPr>
                <w:rFonts w:ascii="Arial" w:hAnsi="Arial" w:cs="Arial"/>
                <w:b/>
                <w:color w:val="000000" w:themeColor="text1"/>
                <w:szCs w:val="22"/>
              </w:rPr>
              <w:t>re there any tax implications for you relating to the payment of the CRM Fee and the making of claims from the no blame fund?</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b/>
                <w:color w:val="000000" w:themeColor="text1"/>
                <w:szCs w:val="22"/>
              </w:rPr>
            </w:pPr>
            <w:r w:rsidRPr="003C4909">
              <w:rPr>
                <w:rFonts w:ascii="Arial" w:hAnsi="Arial" w:cs="Arial"/>
                <w:b/>
                <w:color w:val="000000" w:themeColor="text1"/>
                <w:szCs w:val="22"/>
              </w:rPr>
              <w:t xml:space="preserve">E3) </w:t>
            </w:r>
            <w:r w:rsidRPr="003C4909">
              <w:rPr>
                <w:rFonts w:ascii="Arial" w:hAnsi="Arial" w:cs="Arial"/>
                <w:b/>
                <w:szCs w:val="22"/>
              </w:rPr>
              <w:t>What are your views on the administrative costs associated to operating the no blame fund?</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color w:val="000000" w:themeColor="text1"/>
                <w:szCs w:val="22"/>
              </w:rPr>
            </w:pPr>
            <w:r w:rsidRPr="003C4909">
              <w:rPr>
                <w:rFonts w:ascii="Arial" w:hAnsi="Arial" w:cs="Arial"/>
                <w:b/>
                <w:color w:val="000000" w:themeColor="text1"/>
                <w:szCs w:val="22"/>
              </w:rPr>
              <w:t>E4) What are your views on the proposed enforcement process? Do you have any other suggestions for how the CRM Fee should be enforced?</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color w:val="000000" w:themeColor="text1"/>
                <w:szCs w:val="22"/>
              </w:rPr>
            </w:pPr>
            <w:r w:rsidRPr="003C4909">
              <w:rPr>
                <w:rFonts w:ascii="Arial" w:hAnsi="Arial" w:cs="Arial"/>
                <w:b/>
                <w:color w:val="000000" w:themeColor="text1"/>
                <w:szCs w:val="22"/>
              </w:rPr>
              <w:t>E5) Would the proposed enforcement process be effective in cases of non-payment of the CRM Fee?</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Pr="003C4909" w:rsidRDefault="00835CA5" w:rsidP="003C4909">
            <w:pPr>
              <w:spacing w:line="276" w:lineRule="auto"/>
              <w:rPr>
                <w:rFonts w:ascii="Arial" w:hAnsi="Arial" w:cs="Arial"/>
                <w:color w:val="000000" w:themeColor="text1"/>
                <w:szCs w:val="22"/>
              </w:rPr>
            </w:pPr>
            <w:r w:rsidRPr="003C4909">
              <w:rPr>
                <w:rFonts w:ascii="Arial" w:hAnsi="Arial" w:cs="Arial"/>
                <w:b/>
                <w:szCs w:val="22"/>
              </w:rPr>
              <w:t>E6) What would be your views on Pay.UK sanctioning an FPS Participant for failing to comply with an FPS rule requiring a contribution to a funding mechanism for a voluntary industry Code?</w:t>
            </w:r>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6204" w:type="dxa"/>
            <w:shd w:val="clear" w:color="auto" w:fill="F2F2F2" w:themeFill="background1" w:themeFillShade="F2"/>
          </w:tcPr>
          <w:p w:rsidR="00835CA5" w:rsidRDefault="00835CA5" w:rsidP="003C4909">
            <w:pPr>
              <w:spacing w:line="276" w:lineRule="auto"/>
              <w:rPr>
                <w:rFonts w:ascii="Arial" w:hAnsi="Arial" w:cs="Arial"/>
                <w:b/>
                <w:szCs w:val="22"/>
              </w:rPr>
            </w:pPr>
            <w:r w:rsidRPr="003C4909">
              <w:rPr>
                <w:rFonts w:ascii="Arial" w:hAnsi="Arial" w:cs="Arial"/>
                <w:b/>
                <w:szCs w:val="22"/>
              </w:rPr>
              <w:t xml:space="preserve">E7) What are your views on the proposed different escalation process for the proposed FPS Rule compared to </w:t>
            </w:r>
            <w:proofErr w:type="spellStart"/>
            <w:r w:rsidRPr="003C4909">
              <w:rPr>
                <w:rFonts w:ascii="Arial" w:hAnsi="Arial" w:cs="Arial"/>
                <w:b/>
                <w:szCs w:val="22"/>
              </w:rPr>
              <w:t>Pay.UK’s</w:t>
            </w:r>
            <w:proofErr w:type="spellEnd"/>
            <w:r w:rsidRPr="003C4909">
              <w:rPr>
                <w:rFonts w:ascii="Arial" w:hAnsi="Arial" w:cs="Arial"/>
                <w:b/>
                <w:szCs w:val="22"/>
              </w:rPr>
              <w:t xml:space="preserve"> normal escalation and sanctions processes?</w:t>
            </w:r>
          </w:p>
          <w:p w:rsidR="003C4909" w:rsidRDefault="003C4909" w:rsidP="003C4909">
            <w:pPr>
              <w:spacing w:line="276" w:lineRule="auto"/>
              <w:rPr>
                <w:rFonts w:ascii="Arial" w:hAnsi="Arial" w:cs="Arial"/>
                <w:b/>
                <w:szCs w:val="22"/>
              </w:rPr>
            </w:pPr>
          </w:p>
          <w:p w:rsidR="003C4909" w:rsidRPr="003C4909" w:rsidRDefault="003C4909" w:rsidP="003C4909">
            <w:pPr>
              <w:spacing w:line="276" w:lineRule="auto"/>
              <w:rPr>
                <w:rFonts w:ascii="Arial" w:hAnsi="Arial" w:cs="Arial"/>
                <w:color w:val="000000" w:themeColor="text1"/>
                <w:szCs w:val="22"/>
              </w:rPr>
            </w:pPr>
            <w:bookmarkStart w:id="0" w:name="_GoBack"/>
            <w:bookmarkEnd w:id="0"/>
          </w:p>
        </w:tc>
        <w:tc>
          <w:tcPr>
            <w:tcW w:w="7654" w:type="dxa"/>
          </w:tcPr>
          <w:p w:rsidR="00835CA5" w:rsidRPr="003C4909" w:rsidRDefault="00835CA5" w:rsidP="003C4909">
            <w:pPr>
              <w:spacing w:line="276" w:lineRule="auto"/>
              <w:rPr>
                <w:rFonts w:ascii="Arial" w:hAnsi="Arial" w:cs="Arial"/>
                <w:color w:val="000000" w:themeColor="text1"/>
                <w:szCs w:val="22"/>
              </w:rPr>
            </w:pPr>
          </w:p>
        </w:tc>
      </w:tr>
      <w:tr w:rsidR="00835CA5" w:rsidRPr="00790318" w:rsidTr="003F08EA">
        <w:tc>
          <w:tcPr>
            <w:tcW w:w="13858" w:type="dxa"/>
            <w:gridSpan w:val="2"/>
            <w:shd w:val="clear" w:color="auto" w:fill="595959" w:themeFill="text1" w:themeFillTint="A6"/>
          </w:tcPr>
          <w:p w:rsidR="00835CA5" w:rsidRPr="003C4909" w:rsidRDefault="00835CA5" w:rsidP="003C4909">
            <w:pPr>
              <w:spacing w:line="276" w:lineRule="auto"/>
              <w:rPr>
                <w:rFonts w:ascii="Arial" w:hAnsi="Arial" w:cs="Arial"/>
                <w:color w:val="000000" w:themeColor="text1"/>
                <w:szCs w:val="22"/>
              </w:rPr>
            </w:pPr>
            <w:r w:rsidRPr="003C4909">
              <w:rPr>
                <w:rFonts w:ascii="Arial" w:hAnsi="Arial" w:cs="Arial"/>
                <w:b/>
                <w:color w:val="FFFFFF" w:themeColor="background1"/>
                <w:szCs w:val="22"/>
              </w:rPr>
              <w:lastRenderedPageBreak/>
              <w:t>Other (please provide any other comments you have here</w:t>
            </w:r>
          </w:p>
        </w:tc>
      </w:tr>
      <w:tr w:rsidR="00835CA5" w:rsidRPr="00790318" w:rsidTr="003C4909">
        <w:trPr>
          <w:trHeight w:val="4232"/>
        </w:trPr>
        <w:tc>
          <w:tcPr>
            <w:tcW w:w="13858" w:type="dxa"/>
            <w:gridSpan w:val="2"/>
          </w:tcPr>
          <w:p w:rsidR="00835CA5" w:rsidRPr="003C4909" w:rsidRDefault="00835CA5" w:rsidP="003C4909">
            <w:pPr>
              <w:spacing w:line="276" w:lineRule="auto"/>
              <w:rPr>
                <w:rFonts w:ascii="Arial" w:hAnsi="Arial" w:cs="Arial"/>
                <w:color w:val="000000" w:themeColor="text1"/>
                <w:szCs w:val="22"/>
              </w:rPr>
            </w:pPr>
          </w:p>
        </w:tc>
      </w:tr>
    </w:tbl>
    <w:p w:rsidR="00835CA5" w:rsidRPr="00790318" w:rsidRDefault="00835CA5" w:rsidP="00835CA5">
      <w:pPr>
        <w:rPr>
          <w:rFonts w:ascii="Arial" w:hAnsi="Arial" w:cs="Arial"/>
          <w:szCs w:val="22"/>
        </w:rPr>
      </w:pPr>
    </w:p>
    <w:p w:rsidR="00835CA5" w:rsidRPr="00790318" w:rsidRDefault="00835CA5" w:rsidP="00835CA5">
      <w:pPr>
        <w:rPr>
          <w:rFonts w:ascii="Arial" w:hAnsi="Arial" w:cs="Arial"/>
          <w:szCs w:val="22"/>
        </w:rPr>
      </w:pPr>
    </w:p>
    <w:p w:rsidR="00835CA5" w:rsidRPr="00790318" w:rsidRDefault="00835CA5" w:rsidP="00835CA5">
      <w:pPr>
        <w:rPr>
          <w:rFonts w:ascii="Arial" w:hAnsi="Arial" w:cs="Arial"/>
          <w:szCs w:val="22"/>
        </w:rPr>
      </w:pPr>
    </w:p>
    <w:p w:rsidR="00835CA5" w:rsidRPr="00790318" w:rsidRDefault="00835CA5" w:rsidP="00835CA5">
      <w:pPr>
        <w:rPr>
          <w:rFonts w:ascii="Arial" w:hAnsi="Arial" w:cs="Arial"/>
          <w:szCs w:val="22"/>
        </w:rPr>
      </w:pPr>
    </w:p>
    <w:p w:rsidR="00835CA5" w:rsidRPr="00790318" w:rsidRDefault="00835CA5" w:rsidP="00835CA5">
      <w:pPr>
        <w:rPr>
          <w:rFonts w:ascii="Arial" w:hAnsi="Arial" w:cs="Arial"/>
          <w:szCs w:val="22"/>
        </w:rPr>
      </w:pPr>
    </w:p>
    <w:p w:rsidR="00835CA5" w:rsidRPr="00790318" w:rsidRDefault="00835CA5" w:rsidP="00835CA5">
      <w:pPr>
        <w:rPr>
          <w:rFonts w:ascii="Arial" w:hAnsi="Arial" w:cs="Arial"/>
          <w:szCs w:val="22"/>
        </w:rPr>
      </w:pPr>
    </w:p>
    <w:p w:rsidR="00835CA5" w:rsidRPr="00790318" w:rsidRDefault="00835CA5" w:rsidP="00835CA5">
      <w:pPr>
        <w:rPr>
          <w:rFonts w:ascii="Arial" w:hAnsi="Arial" w:cs="Arial"/>
        </w:rPr>
      </w:pPr>
    </w:p>
    <w:p w:rsidR="00835CA5" w:rsidRPr="00790318" w:rsidRDefault="00835CA5" w:rsidP="00835CA5">
      <w:pPr>
        <w:rPr>
          <w:rFonts w:ascii="Arial" w:hAnsi="Arial" w:cs="Arial"/>
        </w:rPr>
      </w:pPr>
    </w:p>
    <w:p w:rsidR="00835CA5" w:rsidRPr="00790318" w:rsidRDefault="00835CA5" w:rsidP="00835CA5">
      <w:pPr>
        <w:rPr>
          <w:rFonts w:ascii="Arial" w:hAnsi="Arial" w:cs="Arial"/>
        </w:rPr>
      </w:pPr>
    </w:p>
    <w:p w:rsidR="00835CA5" w:rsidRPr="00790318" w:rsidRDefault="00835CA5" w:rsidP="00835CA5">
      <w:pPr>
        <w:rPr>
          <w:rFonts w:ascii="Arial" w:hAnsi="Arial" w:cs="Arial"/>
        </w:rPr>
      </w:pPr>
    </w:p>
    <w:p w:rsidR="00835CA5" w:rsidRPr="00790318" w:rsidRDefault="00835CA5" w:rsidP="00835CA5">
      <w:pPr>
        <w:rPr>
          <w:rFonts w:ascii="Arial" w:hAnsi="Arial" w:cs="Arial"/>
        </w:rPr>
      </w:pPr>
    </w:p>
    <w:p w:rsidR="00835CA5" w:rsidRPr="00790318" w:rsidRDefault="00835CA5" w:rsidP="00835CA5">
      <w:pPr>
        <w:rPr>
          <w:rFonts w:ascii="Arial" w:hAnsi="Arial" w:cs="Arial"/>
        </w:rPr>
      </w:pPr>
    </w:p>
    <w:p w:rsidR="00493A45" w:rsidRPr="00790318" w:rsidRDefault="003C4909">
      <w:pPr>
        <w:rPr>
          <w:rFonts w:ascii="Arial" w:hAnsi="Arial" w:cs="Arial"/>
        </w:rPr>
      </w:pPr>
    </w:p>
    <w:sectPr w:rsidR="00493A45" w:rsidRPr="00790318" w:rsidSect="00835C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623EC"/>
    <w:multiLevelType w:val="hybridMultilevel"/>
    <w:tmpl w:val="C1C0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D1"/>
    <w:rsid w:val="003C4909"/>
    <w:rsid w:val="004B7BD1"/>
    <w:rsid w:val="00790318"/>
    <w:rsid w:val="008218DA"/>
    <w:rsid w:val="00835CA5"/>
    <w:rsid w:val="00A248A2"/>
    <w:rsid w:val="00B61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A5"/>
    <w:pPr>
      <w:spacing w:after="0" w:line="240" w:lineRule="auto"/>
    </w:pPr>
    <w:rPr>
      <w:rFonts w:eastAsia="Times New Roman" w:cs="Times New Roman"/>
      <w:szCs w:val="24"/>
    </w:rPr>
  </w:style>
  <w:style w:type="paragraph" w:styleId="Heading2">
    <w:name w:val="heading 2"/>
    <w:basedOn w:val="Normal"/>
    <w:next w:val="Normal"/>
    <w:link w:val="Heading2Char"/>
    <w:uiPriority w:val="9"/>
    <w:semiHidden/>
    <w:unhideWhenUsed/>
    <w:qFormat/>
    <w:rsid w:val="00835C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CA5"/>
    <w:rPr>
      <w:color w:val="0000FF" w:themeColor="hyperlink"/>
      <w:u w:val="single"/>
    </w:rPr>
  </w:style>
  <w:style w:type="paragraph" w:styleId="ListParagraph">
    <w:name w:val="List Paragraph"/>
    <w:basedOn w:val="Normal"/>
    <w:link w:val="ListParagraphChar"/>
    <w:uiPriority w:val="34"/>
    <w:qFormat/>
    <w:rsid w:val="00835CA5"/>
    <w:pPr>
      <w:ind w:left="720"/>
      <w:contextualSpacing/>
    </w:pPr>
  </w:style>
  <w:style w:type="paragraph" w:customStyle="1" w:styleId="SubheaderBlack">
    <w:name w:val="Sub header Black"/>
    <w:basedOn w:val="Heading2"/>
    <w:link w:val="SubheaderBlackChar"/>
    <w:qFormat/>
    <w:rsid w:val="00835CA5"/>
    <w:pPr>
      <w:spacing w:after="120"/>
    </w:pPr>
    <w:rPr>
      <w:rFonts w:ascii="Source Sans Pro Black" w:hAnsi="Source Sans Pro Black"/>
      <w:b w:val="0"/>
      <w:sz w:val="32"/>
    </w:rPr>
  </w:style>
  <w:style w:type="paragraph" w:customStyle="1" w:styleId="Quickheader">
    <w:name w:val="Quick header]"/>
    <w:basedOn w:val="Normal"/>
    <w:link w:val="QuickheaderChar"/>
    <w:qFormat/>
    <w:rsid w:val="00835CA5"/>
    <w:rPr>
      <w:rFonts w:ascii="Source Sans Pro Black" w:hAnsi="Source Sans Pro Black"/>
      <w:sz w:val="40"/>
      <w:szCs w:val="40"/>
    </w:rPr>
  </w:style>
  <w:style w:type="character" w:customStyle="1" w:styleId="SubheaderBlackChar">
    <w:name w:val="Sub header Black Char"/>
    <w:basedOn w:val="Heading2Char"/>
    <w:link w:val="SubheaderBlack"/>
    <w:rsid w:val="00835CA5"/>
    <w:rPr>
      <w:rFonts w:ascii="Source Sans Pro Black" w:eastAsiaTheme="majorEastAsia" w:hAnsi="Source Sans Pro Black" w:cstheme="majorBidi"/>
      <w:b w:val="0"/>
      <w:bCs/>
      <w:color w:val="4F81BD" w:themeColor="accent1"/>
      <w:sz w:val="32"/>
      <w:szCs w:val="26"/>
    </w:rPr>
  </w:style>
  <w:style w:type="character" w:customStyle="1" w:styleId="ListParagraphChar">
    <w:name w:val="List Paragraph Char"/>
    <w:link w:val="ListParagraph"/>
    <w:uiPriority w:val="34"/>
    <w:locked/>
    <w:rsid w:val="00835CA5"/>
    <w:rPr>
      <w:rFonts w:eastAsia="Times New Roman" w:cs="Times New Roman"/>
      <w:szCs w:val="24"/>
    </w:rPr>
  </w:style>
  <w:style w:type="character" w:customStyle="1" w:styleId="QuickheaderChar">
    <w:name w:val="Quick header] Char"/>
    <w:basedOn w:val="DefaultParagraphFont"/>
    <w:link w:val="Quickheader"/>
    <w:rsid w:val="00835CA5"/>
    <w:rPr>
      <w:rFonts w:ascii="Source Sans Pro Black" w:eastAsia="Times New Roman" w:hAnsi="Source Sans Pro Black" w:cs="Times New Roman"/>
      <w:sz w:val="40"/>
      <w:szCs w:val="40"/>
    </w:rPr>
  </w:style>
  <w:style w:type="character" w:customStyle="1" w:styleId="Heading2Char">
    <w:name w:val="Heading 2 Char"/>
    <w:basedOn w:val="DefaultParagraphFont"/>
    <w:link w:val="Heading2"/>
    <w:uiPriority w:val="9"/>
    <w:semiHidden/>
    <w:rsid w:val="00835CA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90318"/>
    <w:pPr>
      <w:spacing w:after="0"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A5"/>
    <w:pPr>
      <w:spacing w:after="0" w:line="240" w:lineRule="auto"/>
    </w:pPr>
    <w:rPr>
      <w:rFonts w:eastAsia="Times New Roman" w:cs="Times New Roman"/>
      <w:szCs w:val="24"/>
    </w:rPr>
  </w:style>
  <w:style w:type="paragraph" w:styleId="Heading2">
    <w:name w:val="heading 2"/>
    <w:basedOn w:val="Normal"/>
    <w:next w:val="Normal"/>
    <w:link w:val="Heading2Char"/>
    <w:uiPriority w:val="9"/>
    <w:semiHidden/>
    <w:unhideWhenUsed/>
    <w:qFormat/>
    <w:rsid w:val="00835C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CA5"/>
    <w:rPr>
      <w:color w:val="0000FF" w:themeColor="hyperlink"/>
      <w:u w:val="single"/>
    </w:rPr>
  </w:style>
  <w:style w:type="paragraph" w:styleId="ListParagraph">
    <w:name w:val="List Paragraph"/>
    <w:basedOn w:val="Normal"/>
    <w:link w:val="ListParagraphChar"/>
    <w:uiPriority w:val="34"/>
    <w:qFormat/>
    <w:rsid w:val="00835CA5"/>
    <w:pPr>
      <w:ind w:left="720"/>
      <w:contextualSpacing/>
    </w:pPr>
  </w:style>
  <w:style w:type="paragraph" w:customStyle="1" w:styleId="SubheaderBlack">
    <w:name w:val="Sub header Black"/>
    <w:basedOn w:val="Heading2"/>
    <w:link w:val="SubheaderBlackChar"/>
    <w:qFormat/>
    <w:rsid w:val="00835CA5"/>
    <w:pPr>
      <w:spacing w:after="120"/>
    </w:pPr>
    <w:rPr>
      <w:rFonts w:ascii="Source Sans Pro Black" w:hAnsi="Source Sans Pro Black"/>
      <w:b w:val="0"/>
      <w:sz w:val="32"/>
    </w:rPr>
  </w:style>
  <w:style w:type="paragraph" w:customStyle="1" w:styleId="Quickheader">
    <w:name w:val="Quick header]"/>
    <w:basedOn w:val="Normal"/>
    <w:link w:val="QuickheaderChar"/>
    <w:qFormat/>
    <w:rsid w:val="00835CA5"/>
    <w:rPr>
      <w:rFonts w:ascii="Source Sans Pro Black" w:hAnsi="Source Sans Pro Black"/>
      <w:sz w:val="40"/>
      <w:szCs w:val="40"/>
    </w:rPr>
  </w:style>
  <w:style w:type="character" w:customStyle="1" w:styleId="SubheaderBlackChar">
    <w:name w:val="Sub header Black Char"/>
    <w:basedOn w:val="Heading2Char"/>
    <w:link w:val="SubheaderBlack"/>
    <w:rsid w:val="00835CA5"/>
    <w:rPr>
      <w:rFonts w:ascii="Source Sans Pro Black" w:eastAsiaTheme="majorEastAsia" w:hAnsi="Source Sans Pro Black" w:cstheme="majorBidi"/>
      <w:b w:val="0"/>
      <w:bCs/>
      <w:color w:val="4F81BD" w:themeColor="accent1"/>
      <w:sz w:val="32"/>
      <w:szCs w:val="26"/>
    </w:rPr>
  </w:style>
  <w:style w:type="character" w:customStyle="1" w:styleId="ListParagraphChar">
    <w:name w:val="List Paragraph Char"/>
    <w:link w:val="ListParagraph"/>
    <w:uiPriority w:val="34"/>
    <w:locked/>
    <w:rsid w:val="00835CA5"/>
    <w:rPr>
      <w:rFonts w:eastAsia="Times New Roman" w:cs="Times New Roman"/>
      <w:szCs w:val="24"/>
    </w:rPr>
  </w:style>
  <w:style w:type="character" w:customStyle="1" w:styleId="QuickheaderChar">
    <w:name w:val="Quick header] Char"/>
    <w:basedOn w:val="DefaultParagraphFont"/>
    <w:link w:val="Quickheader"/>
    <w:rsid w:val="00835CA5"/>
    <w:rPr>
      <w:rFonts w:ascii="Source Sans Pro Black" w:eastAsia="Times New Roman" w:hAnsi="Source Sans Pro Black" w:cs="Times New Roman"/>
      <w:sz w:val="40"/>
      <w:szCs w:val="40"/>
    </w:rPr>
  </w:style>
  <w:style w:type="character" w:customStyle="1" w:styleId="Heading2Char">
    <w:name w:val="Heading 2 Char"/>
    <w:basedOn w:val="DefaultParagraphFont"/>
    <w:link w:val="Heading2"/>
    <w:uiPriority w:val="9"/>
    <w:semiHidden/>
    <w:rsid w:val="00835CA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90318"/>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engagement@wearepay.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CCDE-3636-46A7-8C2F-CAA8BE83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UK Payments</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Cope</dc:creator>
  <cp:lastModifiedBy>Bharat Kumar Mistry</cp:lastModifiedBy>
  <cp:revision>2</cp:revision>
  <dcterms:created xsi:type="dcterms:W3CDTF">2019-08-27T10:20:00Z</dcterms:created>
  <dcterms:modified xsi:type="dcterms:W3CDTF">2019-08-27T10:20:00Z</dcterms:modified>
</cp:coreProperties>
</file>